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TRAINING CURRICULUM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Course Catalog &amp; Learning Paths</w:t>
      </w:r>
    </w:p>
    <w:p>
      <w:r>
        <w:br w:type="page"/>
      </w:r>
    </w:p>
    <w:p>
      <w:pPr>
        <w:pStyle w:val="Heading1"/>
      </w:pPr>
      <w:r>
        <w:t xml:space="preserve">1. Learning Paths by Role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000"/>
        <w:gridCol w:w="15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Learning Path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 Audience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Duration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Courses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Engineering Track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Engineers, ETL Developers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72 hours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8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Analytics Track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Analysts, Report Developers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24 hours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Governance Track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Stewards, Data Owners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16 hours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Operations Track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IT Operations, Support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32 hours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Executive Overview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Leadership, Sponsors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 hours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Course Catalog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3500"/>
        <w:gridCol w:w="2000"/>
        <w:gridCol w:w="1500"/>
        <w:gridCol w:w="2080"/>
      </w:tblGrid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Course Title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Learning Path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Duration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Format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DE-101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Microsoft Fabric Fundamentals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Engineering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8 hrs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Instructor-led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DE-102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PySpark for Data Engineers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Engineering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16 hrs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Instructor-led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DE-103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Medallion Architecture Deep Dive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Engineering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8 hrs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Instructor-led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DE-104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Pipeline Development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Engineering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16 hrs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Hands-on Lab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AN-101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SQL Analytics in Fabric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Analytics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8 hrs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Virtual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AN-102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Power BI with Fabric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Analytics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8 hrs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Virtual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GV-101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Governance Essentials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Governance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8 hrs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Virtual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OP-101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Platform Monitoring &amp; Support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Operations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16 hrs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Instructor-led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Training Schedule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3000"/>
        <w:gridCol w:w="2000"/>
        <w:gridCol w:w="2000"/>
        <w:gridCol w:w="2080"/>
      </w:tblGrid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Week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Courses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Audience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Dates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Location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Week 1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DE-101, DE-102 (Day 1-2)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Engineers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[Dates]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[Location]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Week 2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DE-102 (Day 3-4), DE-103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Engineers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[Dates]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[Location]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Week 3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DE-104, OP-101 (Day 1-2)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Engineers + Ops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[Dates]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[Location]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Week 4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AN-101, AN-102, GV-101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Analysts + Stewards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[Dates]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[Virtual]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Training Curriculum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2026-01-08T16:58:15.093Z</dcterms:created>
  <dcterms:modified xsi:type="dcterms:W3CDTF">2026-01-08T16:58:15.093Z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